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1B4" w:rsidRDefault="00B81DAC">
      <w:pPr>
        <w:widowControl w:val="0"/>
        <w:spacing w:before="57"/>
        <w:ind w:left="6226"/>
        <w:rPr>
          <w:rFonts w:ascii="PF Din Text Cond Pro Light" w:hAnsi="PF Din Text Cond Pro Light" w:cs="PF Din Text Cond Pro Light"/>
          <w:color w:val="231F20"/>
          <w:spacing w:val="-2"/>
          <w:sz w:val="14"/>
          <w:szCs w:val="1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o:spid="_x0000_s1028" type="#_x0000_t75" style="position:absolute;left:0;text-align:left;margin-left:4.9pt;margin-top:1.35pt;width:94.85pt;height:30pt;z-index:-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<v:imagedata r:id="rId7" o:title=""/>
            <w10:wrap anchorx="margin"/>
          </v:shape>
        </w:pict>
      </w:r>
      <w:r w:rsidR="00D37ED0">
        <w:rPr>
          <w:rFonts w:ascii="PF Din Text Cond Pro Light" w:hAnsi="PF Din Text Cond Pro Light" w:cs="PF Din Text Cond Pro Light"/>
          <w:color w:val="231F20"/>
          <w:sz w:val="14"/>
          <w:szCs w:val="14"/>
        </w:rPr>
        <w:t>Акционерное</w:t>
      </w:r>
      <w:r w:rsidR="00D37ED0">
        <w:rPr>
          <w:rFonts w:ascii="PF Din Text Cond Pro Light" w:hAnsi="PF Din Text Cond Pro Light" w:cs="PF Din Text Cond Pro Light"/>
          <w:color w:val="231F20"/>
          <w:spacing w:val="-1"/>
          <w:sz w:val="14"/>
          <w:szCs w:val="14"/>
        </w:rPr>
        <w:t xml:space="preserve"> </w:t>
      </w:r>
      <w:r w:rsidR="00D37ED0">
        <w:rPr>
          <w:rFonts w:ascii="PF Din Text Cond Pro Light" w:hAnsi="PF Din Text Cond Pro Light" w:cs="PF Din Text Cond Pro Light"/>
          <w:color w:val="231F20"/>
          <w:spacing w:val="-2"/>
          <w:sz w:val="14"/>
          <w:szCs w:val="14"/>
        </w:rPr>
        <w:t>общество</w:t>
      </w:r>
    </w:p>
    <w:p w:rsidR="008151B4" w:rsidRDefault="00D37ED0">
      <w:pPr>
        <w:widowControl w:val="0"/>
        <w:spacing w:before="9" w:line="252" w:lineRule="auto"/>
        <w:ind w:left="6226"/>
        <w:rPr>
          <w:rFonts w:ascii="PF Din Text Cond Pro Light" w:hAnsi="PF Din Text Cond Pro Light" w:cs="PF Din Text Cond Pro Light"/>
          <w:color w:val="231F20"/>
          <w:sz w:val="14"/>
          <w:szCs w:val="14"/>
        </w:rPr>
      </w:pPr>
      <w:r>
        <w:rPr>
          <w:rFonts w:ascii="PF Din Text Cond Pro Light" w:hAnsi="PF Din Text Cond Pro Light" w:cs="PF Din Text Cond Pro Light"/>
          <w:color w:val="231F20"/>
          <w:sz w:val="14"/>
          <w:szCs w:val="14"/>
        </w:rPr>
        <w:t>«Россети</w:t>
      </w:r>
      <w:r>
        <w:rPr>
          <w:rFonts w:ascii="PF Din Text Cond Pro Light" w:hAnsi="PF Din Text Cond Pro Light" w:cs="PF Din Text Cond Pro Light"/>
          <w:color w:val="231F20"/>
          <w:spacing w:val="-8"/>
          <w:sz w:val="14"/>
          <w:szCs w:val="14"/>
        </w:rPr>
        <w:t xml:space="preserve"> </w:t>
      </w:r>
      <w:r>
        <w:rPr>
          <w:rFonts w:ascii="PF Din Text Cond Pro Light" w:hAnsi="PF Din Text Cond Pro Light" w:cs="PF Din Text Cond Pro Light"/>
          <w:color w:val="231F20"/>
          <w:sz w:val="14"/>
          <w:szCs w:val="14"/>
        </w:rPr>
        <w:t>Центр</w:t>
      </w:r>
      <w:r>
        <w:rPr>
          <w:rFonts w:ascii="PF Din Text Cond Pro Light" w:hAnsi="PF Din Text Cond Pro Light" w:cs="PF Din Text Cond Pro Light"/>
          <w:color w:val="231F20"/>
          <w:spacing w:val="-7"/>
          <w:sz w:val="14"/>
          <w:szCs w:val="14"/>
        </w:rPr>
        <w:t xml:space="preserve"> </w:t>
      </w:r>
      <w:r>
        <w:rPr>
          <w:rFonts w:ascii="PF Din Text Cond Pro Light" w:hAnsi="PF Din Text Cond Pro Light" w:cs="PF Din Text Cond Pro Light"/>
          <w:color w:val="231F20"/>
          <w:sz w:val="14"/>
          <w:szCs w:val="14"/>
        </w:rPr>
        <w:t>инжиниринга</w:t>
      </w:r>
      <w:r>
        <w:rPr>
          <w:rFonts w:ascii="PF Din Text Cond Pro Light" w:hAnsi="PF Din Text Cond Pro Light" w:cs="PF Din Text Cond Pro Light"/>
          <w:color w:val="231F20"/>
          <w:spacing w:val="-8"/>
          <w:sz w:val="14"/>
          <w:szCs w:val="14"/>
        </w:rPr>
        <w:t xml:space="preserve"> </w:t>
      </w:r>
      <w:r>
        <w:rPr>
          <w:rFonts w:ascii="PF Din Text Cond Pro Light" w:hAnsi="PF Din Text Cond Pro Light" w:cs="PF Din Text Cond Pro Light"/>
          <w:color w:val="231F20"/>
          <w:sz w:val="14"/>
          <w:szCs w:val="14"/>
        </w:rPr>
        <w:t>и</w:t>
      </w:r>
      <w:r>
        <w:rPr>
          <w:rFonts w:ascii="PF Din Text Cond Pro Light" w:hAnsi="PF Din Text Cond Pro Light" w:cs="PF Din Text Cond Pro Light"/>
          <w:color w:val="231F20"/>
          <w:spacing w:val="-7"/>
          <w:sz w:val="14"/>
          <w:szCs w:val="14"/>
        </w:rPr>
        <w:t xml:space="preserve"> </w:t>
      </w:r>
      <w:r>
        <w:rPr>
          <w:rFonts w:ascii="PF Din Text Cond Pro Light" w:hAnsi="PF Din Text Cond Pro Light" w:cs="PF Din Text Cond Pro Light"/>
          <w:color w:val="231F20"/>
          <w:sz w:val="14"/>
          <w:szCs w:val="14"/>
        </w:rPr>
        <w:t>управления</w:t>
      </w:r>
      <w:r>
        <w:rPr>
          <w:rFonts w:ascii="PF Din Text Cond Pro Light" w:hAnsi="PF Din Text Cond Pro Light" w:cs="PF Din Text Cond Pro Light"/>
          <w:color w:val="231F20"/>
          <w:spacing w:val="-8"/>
          <w:sz w:val="14"/>
          <w:szCs w:val="14"/>
        </w:rPr>
        <w:t xml:space="preserve"> </w:t>
      </w:r>
      <w:r>
        <w:rPr>
          <w:rFonts w:ascii="PF Din Text Cond Pro Light" w:hAnsi="PF Din Text Cond Pro Light" w:cs="PF Din Text Cond Pro Light"/>
          <w:color w:val="231F20"/>
          <w:sz w:val="14"/>
          <w:szCs w:val="14"/>
        </w:rPr>
        <w:t>строительством</w:t>
      </w:r>
      <w:r>
        <w:rPr>
          <w:rFonts w:ascii="PF Din Text Cond Pro Light" w:hAnsi="PF Din Text Cond Pro Light" w:cs="PF Din Text Cond Pro Light"/>
          <w:color w:val="231F20"/>
          <w:spacing w:val="40"/>
          <w:sz w:val="14"/>
          <w:szCs w:val="14"/>
        </w:rPr>
        <w:t xml:space="preserve"> </w:t>
      </w:r>
      <w:r>
        <w:rPr>
          <w:rFonts w:ascii="PF Din Text Cond Pro Light" w:hAnsi="PF Din Text Cond Pro Light" w:cs="PF Din Text Cond Pro Light"/>
          <w:color w:val="231F20"/>
          <w:sz w:val="14"/>
          <w:szCs w:val="14"/>
        </w:rPr>
        <w:t>Единой энергетической системы»</w:t>
      </w:r>
    </w:p>
    <w:p w:rsidR="008151B4" w:rsidRDefault="008151B4">
      <w:pPr>
        <w:widowControl w:val="0"/>
        <w:rPr>
          <w:rFonts w:ascii="PF Din Text Cond Pro Light" w:hAnsi="PF Din Text Cond Pro Light" w:cs="PF Din Text Cond Pro Light"/>
          <w:sz w:val="20"/>
          <w:szCs w:val="20"/>
        </w:rPr>
      </w:pPr>
    </w:p>
    <w:p w:rsidR="008151B4" w:rsidRDefault="008151B4">
      <w:pPr>
        <w:widowControl w:val="0"/>
        <w:spacing w:before="2"/>
        <w:rPr>
          <w:rFonts w:ascii="PF Din Text Cond Pro Light" w:hAnsi="PF Din Text Cond Pro Light" w:cs="PF Din Text Cond Pro Light"/>
          <w:sz w:val="28"/>
          <w:szCs w:val="28"/>
        </w:rPr>
      </w:pPr>
    </w:p>
    <w:p w:rsidR="008151B4" w:rsidRDefault="00D37ED0">
      <w:pPr>
        <w:widowControl w:val="0"/>
        <w:tabs>
          <w:tab w:val="left" w:pos="7088"/>
        </w:tabs>
        <w:spacing w:before="36"/>
        <w:ind w:right="-2"/>
        <w:jc w:val="center"/>
        <w:rPr>
          <w:rFonts w:ascii="PF Din Text Cond Pro Light" w:hAnsi="PF Din Text Cond Pro Light" w:cs="PF Din Text Cond Pro Light"/>
          <w:color w:val="231F20"/>
          <w:spacing w:val="21"/>
          <w:sz w:val="28"/>
          <w:szCs w:val="28"/>
        </w:rPr>
      </w:pPr>
      <w:r>
        <w:rPr>
          <w:rFonts w:ascii="PF Din Text Cond Pro Light" w:hAnsi="PF Din Text Cond Pro Light" w:cs="PF Din Text Cond Pro Light"/>
          <w:color w:val="231F20"/>
          <w:spacing w:val="21"/>
          <w:sz w:val="28"/>
          <w:szCs w:val="28"/>
        </w:rPr>
        <w:t>ПРИКАЗ</w:t>
      </w:r>
    </w:p>
    <w:p w:rsidR="008151B4" w:rsidRDefault="00D37ED0">
      <w:pPr>
        <w:widowControl w:val="0"/>
        <w:tabs>
          <w:tab w:val="left" w:pos="7088"/>
        </w:tabs>
        <w:spacing w:before="36"/>
        <w:ind w:right="-2"/>
        <w:jc w:val="center"/>
        <w:rPr>
          <w:rFonts w:ascii="PF Din Text Cond Pro Light" w:hAnsi="PF Din Text Cond Pro Light" w:cs="PF Din Text Cond Pro Light"/>
          <w:color w:val="231F20"/>
          <w:spacing w:val="21"/>
          <w:sz w:val="28"/>
          <w:szCs w:val="28"/>
        </w:rPr>
      </w:pPr>
      <w:r>
        <w:rPr>
          <w:rFonts w:ascii="PF Din Text Cond Pro Light" w:hAnsi="PF Din Text Cond Pro Light" w:cs="PF Din Text Cond Pro Light"/>
          <w:color w:val="231F20"/>
          <w:spacing w:val="21"/>
          <w:sz w:val="28"/>
          <w:szCs w:val="28"/>
        </w:rPr>
        <w:t xml:space="preserve"> (в редакции приказов АО «Россети ЦИУС ЕЭС» от 16.02.2016 № 29, </w:t>
      </w:r>
      <w:r>
        <w:rPr>
          <w:rFonts w:ascii="PF Din Text Cond Pro Light" w:hAnsi="PF Din Text Cond Pro Light" w:cs="PF Din Text Cond Pro Light"/>
          <w:color w:val="231F20"/>
          <w:spacing w:val="21"/>
          <w:sz w:val="28"/>
          <w:szCs w:val="28"/>
        </w:rPr>
        <w:br w:type="textWrapping" w:clear="all"/>
        <w:t xml:space="preserve">от 29.04.2016 № 72, от 27.06.2016 № 112, от 22.07.2016 № 127, от 02.12.2016 </w:t>
      </w:r>
      <w:r>
        <w:rPr>
          <w:rFonts w:ascii="PF Din Text Cond Pro Light" w:hAnsi="PF Din Text Cond Pro Light" w:cs="PF Din Text Cond Pro Light"/>
          <w:color w:val="231F20"/>
          <w:spacing w:val="21"/>
          <w:sz w:val="28"/>
          <w:szCs w:val="28"/>
        </w:rPr>
        <w:br w:type="textWrapping" w:clear="all"/>
        <w:t>№ 195, от 02.06.2025 № 117, от 10.07.2025 № 172, от 11.09.2025 № 244, от 24.04.2026 № 105, от 09.06.2026 № 132</w:t>
      </w:r>
      <w:r w:rsidR="003D03DB">
        <w:rPr>
          <w:rFonts w:ascii="PF Din Text Cond Pro Light" w:hAnsi="PF Din Text Cond Pro Light" w:cs="PF Din Text Cond Pro Light"/>
          <w:color w:val="231F20"/>
          <w:spacing w:val="21"/>
          <w:sz w:val="28"/>
          <w:szCs w:val="28"/>
        </w:rPr>
        <w:t xml:space="preserve">, </w:t>
      </w:r>
      <w:r w:rsidR="003D03DB" w:rsidRPr="003D03DB">
        <w:rPr>
          <w:rFonts w:ascii="PF Din Text Cond Pro Light" w:hAnsi="PF Din Text Cond Pro Light" w:cs="PF Din Text Cond Pro Light"/>
          <w:color w:val="231F20"/>
          <w:spacing w:val="21"/>
          <w:sz w:val="28"/>
          <w:szCs w:val="28"/>
        </w:rPr>
        <w:t>от 20.07.2026 № 169</w:t>
      </w:r>
      <w:r>
        <w:rPr>
          <w:rFonts w:ascii="PF Din Text Cond Pro Light" w:hAnsi="PF Din Text Cond Pro Light" w:cs="PF Din Text Cond Pro Light"/>
          <w:color w:val="231F20"/>
          <w:spacing w:val="21"/>
          <w:sz w:val="28"/>
          <w:szCs w:val="28"/>
        </w:rPr>
        <w:t>)</w:t>
      </w:r>
    </w:p>
    <w:p w:rsidR="008151B4" w:rsidRDefault="008151B4">
      <w:pPr>
        <w:widowControl w:val="0"/>
        <w:tabs>
          <w:tab w:val="left" w:pos="7088"/>
        </w:tabs>
        <w:spacing w:before="36"/>
        <w:ind w:right="-2"/>
        <w:jc w:val="center"/>
        <w:rPr>
          <w:rFonts w:ascii="PF Din Text Cond Pro Light" w:hAnsi="PF Din Text Cond Pro Light" w:cs="PF Din Text Cond Pro Light"/>
          <w:color w:val="231F20"/>
          <w:spacing w:val="21"/>
          <w:sz w:val="28"/>
          <w:szCs w:val="28"/>
        </w:rPr>
      </w:pPr>
    </w:p>
    <w:p w:rsidR="008151B4" w:rsidRDefault="00B81DAC">
      <w:pPr>
        <w:widowControl w:val="0"/>
        <w:tabs>
          <w:tab w:val="left" w:pos="4485"/>
          <w:tab w:val="left" w:pos="6096"/>
          <w:tab w:val="left" w:pos="6237"/>
        </w:tabs>
        <w:rPr>
          <w:color w:val="231F20"/>
          <w:spacing w:val="-12"/>
          <w:position w:val="9"/>
          <w:sz w:val="28"/>
          <w:szCs w:val="28"/>
        </w:rPr>
      </w:pPr>
      <w:r>
        <w:rPr>
          <w:noProof/>
        </w:rPr>
        <w:pict>
          <v:polyline id="_x0000_s1026" o:spid="_x0000_s1027" style="position:absolute;z-index:-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points="391.15pt,18.25pt,552.7pt,18.25pt" coordsize="3232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" o:allowincell="f" filled="f" strokeweight=".19997mm">
            <v:path arrowok="t"/>
            <w10:wrap anchorx="page"/>
          </v:polyline>
        </w:pict>
      </w:r>
      <w:r>
        <w:rPr>
          <w:noProof/>
        </w:rPr>
        <w:pict>
          <v:polyline id="_x0000_s1027" o:spid="_x0000_s1026" style="position:absolute;z-index:-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points="85pt,18.25pt,246.55pt,18.25pt" coordsize="3232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" o:allowincell="f" filled="f" strokeweight=".19997mm">
            <v:path arrowok="t"/>
            <w10:wrap anchorx="page"/>
          </v:polyline>
        </w:pict>
      </w:r>
      <w:r w:rsidR="00D37ED0">
        <w:rPr>
          <w:rFonts w:ascii="PF Din Text Cond Pro Light" w:hAnsi="PF Din Text Cond Pro Light" w:cs="PF Din Text Cond Pro Light"/>
          <w:color w:val="231F20"/>
          <w:spacing w:val="-5"/>
          <w:position w:val="9"/>
          <w:sz w:val="20"/>
          <w:szCs w:val="20"/>
        </w:rPr>
        <w:t xml:space="preserve">от                       </w:t>
      </w:r>
      <w:r w:rsidR="00D37ED0">
        <w:rPr>
          <w:color w:val="231F20"/>
          <w:spacing w:val="-5"/>
          <w:position w:val="9"/>
          <w:sz w:val="28"/>
          <w:szCs w:val="28"/>
        </w:rPr>
        <w:t>20.08.2015</w:t>
      </w:r>
      <w:r w:rsidR="00D37ED0">
        <w:rPr>
          <w:rFonts w:ascii="PF Din Text Cond Pro Light" w:hAnsi="PF Din Text Cond Pro Light" w:cs="PF Din Text Cond Pro Light"/>
          <w:color w:val="231F20"/>
          <w:position w:val="9"/>
          <w:sz w:val="20"/>
          <w:szCs w:val="20"/>
        </w:rPr>
        <w:tab/>
        <w:t>Москва</w:t>
      </w:r>
      <w:r w:rsidR="00D37ED0">
        <w:rPr>
          <w:rFonts w:ascii="PF Din Text Cond Pro Light" w:hAnsi="PF Din Text Cond Pro Light" w:cs="PF Din Text Cond Pro Light"/>
          <w:color w:val="231F20"/>
          <w:sz w:val="20"/>
          <w:szCs w:val="20"/>
        </w:rPr>
        <w:tab/>
        <w:t xml:space="preserve"> </w:t>
      </w:r>
      <w:r w:rsidR="00D37ED0">
        <w:rPr>
          <w:rFonts w:ascii="PF Din Text Cond Pro Light" w:hAnsi="PF Din Text Cond Pro Light" w:cs="PF Din Text Cond Pro Light"/>
          <w:color w:val="231F20"/>
          <w:spacing w:val="-12"/>
          <w:position w:val="9"/>
          <w:sz w:val="20"/>
          <w:szCs w:val="20"/>
        </w:rPr>
        <w:t>№</w:t>
      </w:r>
      <w:r w:rsidR="00D37ED0">
        <w:rPr>
          <w:color w:val="231F20"/>
          <w:spacing w:val="-12"/>
          <w:position w:val="9"/>
          <w:sz w:val="28"/>
          <w:szCs w:val="28"/>
        </w:rPr>
        <w:t xml:space="preserve">                     182</w:t>
      </w:r>
    </w:p>
    <w:p w:rsidR="008151B4" w:rsidRDefault="008151B4">
      <w:pPr>
        <w:widowControl w:val="0"/>
      </w:pPr>
    </w:p>
    <w:p w:rsidR="008151B4" w:rsidRDefault="00D37ED0">
      <w:pPr>
        <w:ind w:right="5935"/>
        <w:jc w:val="both"/>
      </w:pPr>
      <w:r>
        <w:rPr>
          <w:szCs w:val="28"/>
        </w:rPr>
        <w:t>Об утверждении Перечня товаров, работ, услуг, закупки которых осуществляются у субъектов малого и среднего предпринимательства</w:t>
      </w:r>
    </w:p>
    <w:p w:rsidR="008151B4" w:rsidRDefault="008151B4">
      <w:pPr>
        <w:jc w:val="both"/>
        <w:rPr>
          <w:sz w:val="28"/>
          <w:szCs w:val="28"/>
        </w:rPr>
      </w:pPr>
    </w:p>
    <w:p w:rsidR="008151B4" w:rsidRDefault="008151B4">
      <w:pPr>
        <w:jc w:val="both"/>
        <w:rPr>
          <w:sz w:val="28"/>
          <w:szCs w:val="28"/>
        </w:rPr>
      </w:pPr>
    </w:p>
    <w:p w:rsidR="008151B4" w:rsidRDefault="00D37ED0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рамках исполнения плана мероприятий по направлению «Содействие развитию субъектов малого и среднего предпринимательства», утвержденного п. </w:t>
      </w:r>
      <w:r>
        <w:rPr>
          <w:sz w:val="28"/>
          <w:szCs w:val="28"/>
          <w:lang w:val="en-US" w:eastAsia="en-US"/>
        </w:rPr>
        <w:t>VI</w:t>
      </w:r>
      <w:r>
        <w:rPr>
          <w:sz w:val="28"/>
          <w:szCs w:val="28"/>
          <w:lang w:eastAsia="en-US"/>
        </w:rPr>
        <w:t xml:space="preserve"> распоряжения Правительства Российской Федерации от 17.01.2019 </w:t>
      </w:r>
      <w:r>
        <w:rPr>
          <w:sz w:val="28"/>
          <w:szCs w:val="28"/>
          <w:lang w:eastAsia="en-US"/>
        </w:rPr>
        <w:br w:type="textWrapping" w:clear="all"/>
        <w:t>№ 20-р «Об утверждении плана «Трансформация делового климата», а также в соответствии с п. 8 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 (далее – Положение), утвержденного постановлением Правительства Российской Федерации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</w:t>
      </w:r>
      <w:r>
        <w:rPr>
          <w:sz w:val="28"/>
          <w:szCs w:val="28"/>
          <w:lang w:eastAsia="en-US"/>
        </w:rPr>
        <w:br w:type="textWrapping" w:clear="all"/>
        <w:t>(далее – Постановление),</w:t>
      </w:r>
    </w:p>
    <w:p w:rsidR="008151B4" w:rsidRDefault="00D37ED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8151B4" w:rsidRDefault="008151B4">
      <w:pPr>
        <w:jc w:val="both"/>
        <w:rPr>
          <w:sz w:val="28"/>
          <w:szCs w:val="28"/>
        </w:rPr>
      </w:pPr>
    </w:p>
    <w:p w:rsidR="008151B4" w:rsidRDefault="00D37ED0">
      <w:pPr>
        <w:pStyle w:val="1c"/>
        <w:numPr>
          <w:ilvl w:val="0"/>
          <w:numId w:val="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Перечень товаров, работ, услуг, закупки которых осуществляются у субъектов малого и среднего предпринимательства (далее – Перечень) согласно приложению к настоящему приказу.</w:t>
      </w:r>
    </w:p>
    <w:p w:rsidR="008151B4" w:rsidRDefault="00D37ED0">
      <w:pPr>
        <w:pStyle w:val="1c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Работникам исполнительного аппарата и филиалов АО «Россети ЦИУС ЕЭС» использовать Перечень в соответствии с порядком, установленным разделом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Положения, утвержденного Постановлением.</w:t>
      </w:r>
    </w:p>
    <w:p w:rsidR="008151B4" w:rsidRDefault="00D37ED0">
      <w:pPr>
        <w:pStyle w:val="1c"/>
        <w:numPr>
          <w:ilvl w:val="0"/>
          <w:numId w:val="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Руководителю Управления по организации закупок Фоминых В.А. обеспечить размещение Перечня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(</w:t>
      </w:r>
      <w:hyperlink r:id="rId8" w:tooltip="http://www.zakupki.gov.ru" w:history="1">
        <w:r>
          <w:rPr>
            <w:rStyle w:val="1a"/>
            <w:rFonts w:ascii="Times New Roman" w:hAnsi="Times New Roman"/>
            <w:sz w:val="28"/>
            <w:szCs w:val="28"/>
            <w:lang w:val="en-US"/>
          </w:rPr>
          <w:t>www</w:t>
        </w:r>
        <w:r>
          <w:rPr>
            <w:rStyle w:val="1a"/>
            <w:rFonts w:ascii="Times New Roman" w:hAnsi="Times New Roman"/>
            <w:sz w:val="28"/>
            <w:szCs w:val="28"/>
          </w:rPr>
          <w:t>.</w:t>
        </w:r>
        <w:r>
          <w:rPr>
            <w:rStyle w:val="1a"/>
            <w:rFonts w:ascii="Times New Roman" w:hAnsi="Times New Roman"/>
            <w:sz w:val="28"/>
            <w:szCs w:val="28"/>
            <w:lang w:val="en-US"/>
          </w:rPr>
          <w:t>zakupki</w:t>
        </w:r>
        <w:r>
          <w:rPr>
            <w:rStyle w:val="1a"/>
            <w:rFonts w:ascii="Times New Roman" w:hAnsi="Times New Roman"/>
            <w:sz w:val="28"/>
            <w:szCs w:val="28"/>
          </w:rPr>
          <w:t>.</w:t>
        </w:r>
        <w:r>
          <w:rPr>
            <w:rStyle w:val="1a"/>
            <w:rFonts w:ascii="Times New Roman" w:hAnsi="Times New Roman"/>
            <w:sz w:val="28"/>
            <w:szCs w:val="28"/>
            <w:lang w:val="en-US"/>
          </w:rPr>
          <w:t>gov</w:t>
        </w:r>
        <w:r>
          <w:rPr>
            <w:rStyle w:val="1a"/>
            <w:rFonts w:ascii="Times New Roman" w:hAnsi="Times New Roman"/>
            <w:sz w:val="28"/>
            <w:szCs w:val="28"/>
          </w:rPr>
          <w:t>.</w:t>
        </w:r>
        <w:r>
          <w:rPr>
            <w:rStyle w:val="1a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>), а также на официальном сайте АО «Россети ЦИУС ЕЭС» (</w:t>
      </w:r>
      <w:r>
        <w:rPr>
          <w:rStyle w:val="1a"/>
          <w:rFonts w:ascii="Times New Roman" w:hAnsi="Times New Roman"/>
          <w:sz w:val="28"/>
          <w:szCs w:val="28"/>
          <w:lang w:val="en-US"/>
        </w:rPr>
        <w:t>www</w:t>
      </w:r>
      <w:r>
        <w:rPr>
          <w:rStyle w:val="1a"/>
          <w:rFonts w:ascii="Times New Roman" w:hAnsi="Times New Roman"/>
          <w:sz w:val="28"/>
          <w:szCs w:val="28"/>
        </w:rPr>
        <w:t>.</w:t>
      </w:r>
      <w:r>
        <w:rPr>
          <w:rStyle w:val="1a"/>
          <w:rFonts w:ascii="Times New Roman" w:hAnsi="Times New Roman"/>
          <w:sz w:val="28"/>
          <w:szCs w:val="28"/>
          <w:lang w:val="en-US"/>
        </w:rPr>
        <w:t>cius</w:t>
      </w:r>
      <w:r>
        <w:rPr>
          <w:rStyle w:val="1a"/>
          <w:rFonts w:ascii="Times New Roman" w:hAnsi="Times New Roman"/>
          <w:sz w:val="28"/>
          <w:szCs w:val="28"/>
        </w:rPr>
        <w:t>-</w:t>
      </w:r>
      <w:r>
        <w:rPr>
          <w:rStyle w:val="1a"/>
          <w:rFonts w:ascii="Times New Roman" w:hAnsi="Times New Roman"/>
          <w:sz w:val="28"/>
          <w:szCs w:val="28"/>
          <w:lang w:val="en-US"/>
        </w:rPr>
        <w:t>ees</w:t>
      </w:r>
      <w:r>
        <w:rPr>
          <w:rStyle w:val="1a"/>
          <w:rFonts w:ascii="Times New Roman" w:hAnsi="Times New Roman"/>
          <w:sz w:val="28"/>
          <w:szCs w:val="28"/>
        </w:rPr>
        <w:t>.</w:t>
      </w:r>
      <w:r>
        <w:rPr>
          <w:rStyle w:val="1a"/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).</w:t>
      </w:r>
    </w:p>
    <w:p w:rsidR="008151B4" w:rsidRDefault="00D37ED0">
      <w:pPr>
        <w:pStyle w:val="1c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Срок: в течение 3 (трех) рабочих дней с даты выхода настоящего приказа.</w:t>
      </w:r>
    </w:p>
    <w:p w:rsidR="008151B4" w:rsidRDefault="00D37ED0">
      <w:pPr>
        <w:pStyle w:val="1c"/>
        <w:numPr>
          <w:ilvl w:val="0"/>
          <w:numId w:val="2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:rsidR="008151B4" w:rsidRDefault="008151B4">
      <w:pPr>
        <w:jc w:val="both"/>
        <w:rPr>
          <w:sz w:val="28"/>
          <w:szCs w:val="28"/>
        </w:rPr>
      </w:pPr>
    </w:p>
    <w:p w:rsidR="008151B4" w:rsidRDefault="008151B4">
      <w:pPr>
        <w:jc w:val="both"/>
        <w:rPr>
          <w:sz w:val="28"/>
          <w:szCs w:val="28"/>
        </w:rPr>
      </w:pPr>
    </w:p>
    <w:p w:rsidR="008151B4" w:rsidRDefault="008151B4">
      <w:pPr>
        <w:jc w:val="both"/>
        <w:rPr>
          <w:sz w:val="28"/>
          <w:szCs w:val="28"/>
        </w:rPr>
      </w:pPr>
    </w:p>
    <w:p w:rsidR="008151B4" w:rsidRDefault="00D37ED0">
      <w:pPr>
        <w:jc w:val="both"/>
        <w:rPr>
          <w:sz w:val="28"/>
          <w:szCs w:val="28"/>
        </w:rPr>
      </w:pPr>
      <w:r>
        <w:rPr>
          <w:sz w:val="28"/>
          <w:szCs w:val="28"/>
        </w:rPr>
        <w:t>Генеральный 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Н.И. Поздняков</w:t>
      </w:r>
    </w:p>
    <w:p w:rsidR="008151B4" w:rsidRDefault="008151B4">
      <w:pPr>
        <w:jc w:val="both"/>
        <w:rPr>
          <w:sz w:val="28"/>
          <w:szCs w:val="28"/>
        </w:rPr>
      </w:pPr>
    </w:p>
    <w:p w:rsidR="008151B4" w:rsidRDefault="008151B4"/>
    <w:p w:rsidR="008151B4" w:rsidRDefault="008151B4"/>
    <w:p w:rsidR="008151B4" w:rsidRDefault="008151B4"/>
    <w:p w:rsidR="008151B4" w:rsidRDefault="008151B4"/>
    <w:p w:rsidR="008151B4" w:rsidRDefault="008151B4"/>
    <w:p w:rsidR="008151B4" w:rsidRDefault="008151B4"/>
    <w:p w:rsidR="008151B4" w:rsidRDefault="008151B4"/>
    <w:p w:rsidR="008151B4" w:rsidRDefault="008151B4"/>
    <w:p w:rsidR="008151B4" w:rsidRDefault="008151B4"/>
    <w:p w:rsidR="008151B4" w:rsidRDefault="008151B4"/>
    <w:p w:rsidR="008151B4" w:rsidRDefault="008151B4"/>
    <w:p w:rsidR="008151B4" w:rsidRDefault="008151B4"/>
    <w:p w:rsidR="008151B4" w:rsidRDefault="008151B4"/>
    <w:p w:rsidR="008151B4" w:rsidRDefault="008151B4"/>
    <w:p w:rsidR="008151B4" w:rsidRDefault="008151B4"/>
    <w:p w:rsidR="008151B4" w:rsidRDefault="008151B4"/>
    <w:p w:rsidR="008151B4" w:rsidRDefault="008151B4"/>
    <w:p w:rsidR="008151B4" w:rsidRDefault="008151B4"/>
    <w:p w:rsidR="008151B4" w:rsidRDefault="008151B4"/>
    <w:p w:rsidR="008151B4" w:rsidRDefault="008151B4"/>
    <w:p w:rsidR="008151B4" w:rsidRDefault="008151B4"/>
    <w:p w:rsidR="008151B4" w:rsidRDefault="008151B4"/>
    <w:p w:rsidR="008151B4" w:rsidRDefault="008151B4"/>
    <w:p w:rsidR="008151B4" w:rsidRDefault="008151B4">
      <w:pPr>
        <w:jc w:val="both"/>
      </w:pPr>
    </w:p>
    <w:p w:rsidR="008151B4" w:rsidRDefault="008151B4">
      <w:pPr>
        <w:jc w:val="both"/>
      </w:pPr>
    </w:p>
    <w:p w:rsidR="008151B4" w:rsidRDefault="008151B4">
      <w:pPr>
        <w:jc w:val="both"/>
      </w:pPr>
    </w:p>
    <w:p w:rsidR="008151B4" w:rsidRDefault="008151B4">
      <w:pPr>
        <w:jc w:val="both"/>
      </w:pPr>
    </w:p>
    <w:p w:rsidR="008151B4" w:rsidRDefault="008151B4">
      <w:pPr>
        <w:jc w:val="both"/>
      </w:pPr>
    </w:p>
    <w:p w:rsidR="008151B4" w:rsidRDefault="008151B4">
      <w:pPr>
        <w:jc w:val="both"/>
      </w:pPr>
    </w:p>
    <w:p w:rsidR="008151B4" w:rsidRDefault="008151B4">
      <w:pPr>
        <w:jc w:val="both"/>
      </w:pPr>
    </w:p>
    <w:p w:rsidR="008151B4" w:rsidRDefault="008151B4">
      <w:pPr>
        <w:jc w:val="both"/>
      </w:pPr>
    </w:p>
    <w:p w:rsidR="008151B4" w:rsidRDefault="008151B4">
      <w:pPr>
        <w:jc w:val="both"/>
      </w:pPr>
    </w:p>
    <w:p w:rsidR="008151B4" w:rsidRDefault="008151B4">
      <w:pPr>
        <w:jc w:val="both"/>
      </w:pPr>
    </w:p>
    <w:p w:rsidR="008151B4" w:rsidRDefault="008151B4">
      <w:pPr>
        <w:jc w:val="both"/>
      </w:pPr>
    </w:p>
    <w:p w:rsidR="008151B4" w:rsidRDefault="008151B4">
      <w:pPr>
        <w:jc w:val="both"/>
      </w:pPr>
    </w:p>
    <w:p w:rsidR="008151B4" w:rsidRDefault="008151B4">
      <w:pPr>
        <w:jc w:val="both"/>
      </w:pPr>
    </w:p>
    <w:p w:rsidR="008151B4" w:rsidRDefault="00D37ED0">
      <w:pPr>
        <w:jc w:val="both"/>
      </w:pPr>
      <w:r>
        <w:t>Рассылается: исполнительный аппарат и филиалы АО «Россети ЦИУС ЕЭС»</w:t>
      </w:r>
    </w:p>
    <w:p w:rsidR="008151B4" w:rsidRDefault="00D37ED0">
      <w:pPr>
        <w:jc w:val="both"/>
      </w:pPr>
      <w:r>
        <w:t xml:space="preserve">Макурин А.Н. </w:t>
      </w:r>
    </w:p>
    <w:p w:rsidR="008151B4" w:rsidRDefault="00D37ED0">
      <w:pPr>
        <w:jc w:val="both"/>
      </w:pPr>
      <w:r>
        <w:t>(495) 710-60-60 (20-35)</w:t>
      </w:r>
    </w:p>
    <w:p w:rsidR="008151B4" w:rsidRDefault="00D37ED0">
      <w:pPr>
        <w:jc w:val="both"/>
      </w:pPr>
      <w:r>
        <w:t>Визы: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t>Пличенко Д. В., Заворина Е. В., Шилов О. А., Пентегов И. С., Колков И. М., Колоскова Е. А.</w:t>
      </w:r>
    </w:p>
    <w:p w:rsidR="008151B4" w:rsidRDefault="00D37ED0">
      <w:pPr>
        <w:ind w:left="6096" w:right="-1" w:hanging="426"/>
        <w:jc w:val="both"/>
        <w:rPr>
          <w:szCs w:val="20"/>
        </w:rPr>
      </w:pPr>
      <w:r>
        <w:br w:type="page"/>
      </w:r>
      <w:r>
        <w:rPr>
          <w:szCs w:val="20"/>
        </w:rPr>
        <w:lastRenderedPageBreak/>
        <w:t xml:space="preserve">Приложение </w:t>
      </w:r>
    </w:p>
    <w:p w:rsidR="008151B4" w:rsidRDefault="00D37ED0">
      <w:pPr>
        <w:ind w:left="6096" w:right="-1" w:hanging="426"/>
        <w:jc w:val="both"/>
        <w:rPr>
          <w:szCs w:val="20"/>
        </w:rPr>
      </w:pPr>
      <w:r>
        <w:rPr>
          <w:szCs w:val="20"/>
        </w:rPr>
        <w:t xml:space="preserve">к приказу АО «Россети ЦИУС ЕЭС» </w:t>
      </w:r>
    </w:p>
    <w:p w:rsidR="008151B4" w:rsidRDefault="00D37ED0">
      <w:pPr>
        <w:ind w:left="6096" w:right="-1" w:hanging="426"/>
        <w:jc w:val="both"/>
      </w:pPr>
      <w:r>
        <w:t>от 20.08.2015 № 182</w:t>
      </w:r>
    </w:p>
    <w:p w:rsidR="008151B4" w:rsidRDefault="008151B4">
      <w:pPr>
        <w:ind w:left="6096" w:right="-1" w:hanging="426"/>
        <w:jc w:val="both"/>
      </w:pPr>
    </w:p>
    <w:p w:rsidR="008151B4" w:rsidRDefault="00D37ED0">
      <w:pPr>
        <w:widowControl w:val="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товаров, работ, услуг, закупка которых осуществляется только с участием субъектов малого и среднего предпринимательства</w:t>
      </w:r>
    </w:p>
    <w:p w:rsidR="008151B4" w:rsidRDefault="008151B4">
      <w:pPr>
        <w:jc w:val="both"/>
        <w:rPr>
          <w:rFonts w:ascii="Calibri" w:eastAsia="Calibri" w:hAnsi="Calibri"/>
          <w:sz w:val="22"/>
          <w:szCs w:val="22"/>
        </w:rPr>
      </w:pPr>
    </w:p>
    <w:tbl>
      <w:tblPr>
        <w:tblW w:w="97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585"/>
        <w:gridCol w:w="6499"/>
      </w:tblGrid>
      <w:tr w:rsidR="008151B4" w:rsidTr="00B81DAC">
        <w:trPr>
          <w:cantSplit/>
          <w:trHeight w:val="567"/>
          <w:tblHeader/>
        </w:trPr>
        <w:tc>
          <w:tcPr>
            <w:tcW w:w="709" w:type="dxa"/>
            <w:shd w:val="clear" w:color="auto" w:fill="F2F2F2"/>
            <w:noWrap/>
            <w:vAlign w:val="center"/>
          </w:tcPr>
          <w:p w:rsidR="008151B4" w:rsidRDefault="00D37E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2585" w:type="dxa"/>
            <w:shd w:val="clear" w:color="auto" w:fill="F2F2F2"/>
            <w:vAlign w:val="center"/>
          </w:tcPr>
          <w:p w:rsidR="008151B4" w:rsidRDefault="00D37E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по Общероссийскому классификатору видов экономической деятельности, продукции и услуг (ОКПД2)</w:t>
            </w:r>
          </w:p>
          <w:p w:rsidR="008151B4" w:rsidRDefault="00D37E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ОК 034-2014 (КПЕС 2008)</w:t>
            </w:r>
          </w:p>
        </w:tc>
        <w:tc>
          <w:tcPr>
            <w:tcW w:w="6499" w:type="dxa"/>
            <w:shd w:val="clear" w:color="auto" w:fill="F2F2F2"/>
            <w:vAlign w:val="center"/>
          </w:tcPr>
          <w:p w:rsidR="008151B4" w:rsidRDefault="00D37E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Наименование по Общероссийскому классификатору видов экономической деятельности, продукции и услуг (ОКПД2)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ОК 034-2014 (КПЕС 2008)</w:t>
            </w:r>
          </w:p>
        </w:tc>
      </w:tr>
      <w:tr w:rsidR="008151B4">
        <w:trPr>
          <w:cantSplit/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01.61.10.190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Услуги по поддержанию сельскохозяйственных земель в хорошем экологическом состоянии для сельскохозяйственного использования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02.10.20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лесопитомников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02.20.14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Древесина топливная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02.40.10.113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Услуги по определению стоимости строевого леса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02.40.10.121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Услуги по рубке (валке) леса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03.22.90.120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Услуги по искусственному воспроизводству пресноводных биоресурсов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Камень, песок и глина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10.8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Продукты пищевые прочие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13.9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Изделия текстильные прочие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Одежда, кроме одежды из меха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16.10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Лесоматериалы, распиленные и строганые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16.2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Изделия из дерева, пробки, соломки и материалов для плетения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Целлюлоза, бумага и картон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17.2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Изделия из бумаги и картона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18.12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печатные прочие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18.13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подготовке к печати и предпечатные услуги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20.20.14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Средства дезинфекционные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20.30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Материалы лакокрасочные и аналогичные для нанесения покрытий, полиграфические краски и мастики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20.4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Мыло и средства моющие, средства чистящие и полирующие, средства парфюмерные и косметические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20.5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Продукты химические прочие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21.20.24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Материалы клейкие перевязочные, кетгут и аналогичные материалы, аптечки и сумки санитарные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Изделия резиновые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22.2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Изделия из пластмасс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23.19.25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Изоляторы электрические стеклянные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23.43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Изоляторы электрические и арматура изолирующая из керамики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23.61.12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Блоки и прочие изделия сборные строительные для зданий и сооружений из цемента, бетона или искусственного камня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24.2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Трубы, профили пустотелые и их фитинги стальные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24.3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Полуфабрикаты стальные прочие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25.11.10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Здания сборные из металла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25.11.22.110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Опоры линий электропередачи (ЛЭП) из черных металлов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25.11.22.120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Опоры радиорелейных линий из черных металлов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25.11.23.115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Конструкции и детали линий электропередач и открытых подстанций из черных металлов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25.11.23.119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Конструкции и детали конструкций из черных металлов прочие, не включенные в другие группировки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25.30.12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Оборудование вспомогательное для использования вместе с паровыми котлами; конденсаторы для пароводяных или прочих паросиловых установок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25.7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Изделия ножевые, инструмент и универсальные скобяные изделия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25.91.11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Цистерны, бочки, барабаны, канистры, ящики и аналогичные емкости для любых веществ (кроме газов) из железа, чугуна или стали, вместимостью от 50 до 300 л, не оснащенные механическим или тепловым оборудованием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25.93.11.140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Стропы и аналогичные изделия из черных металлов без электрической изоляции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25.94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Изделия крепежные и винты крепежные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25.99.2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Изделия металлические прочие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Компоненты электронные и платы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26.4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Техника бытовая электронная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Оборудование для измерения, испытаний и навигации; часы всех видов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26.6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26.7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Приборы оптические и фотографическое оборудование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26.8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Носители информации магнитные и оптические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26.20.3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Устройства автоматической обработки данных прочие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26.20.40.110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Устройства и блоки питания вычислительных машин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26.20.40.120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Элементы замены типовые устройств ввода и вывода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26.20.40.130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Инструменты и принадлежности для вычислительных машин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26.20.40.150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Устройства числового программного управления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26.20.40.160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Узлы принтеров и многофункциональных печатающих устройств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26.20.40.170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Ресурсные детали и ресурсные узлы для принтеров и многофункциональных печатающих устройств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26.20.40.180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Дополнительные устройства подачи и обработки бумаги принтеров и многофункциональных печатающих устройств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26.20.40.190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Комплектующие и запасные части для вычислительных машин, принтеров и многофункциональных печатающих устройств прочие, не включенные в другие группировки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26.20.9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Услуги по производству компьютеров и периферийного оборудования; отдельные операции процесса производства компьютеров и периферийного оборудования, выполняемые субподрядчиком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26.20.11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26.20.12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26.20.13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26.20.14.000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26.20.14.140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Большие универсальные высокопроизводительные серверы, предназначенные для использования в критической инфраструктуре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26.20.14.150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Серверы хранения данных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26.20.14.160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Программно-аппаратные комплексы, созданные на серверах или устройствах, содержащие в своем составе один или более вычислительных узлов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26.20.14.170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Программно-аппаратные комплексы - высокопроизводительные вычислительные платформы с использованием ускорителей искусственного интеллекта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26.20.16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26.20.17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26.20.18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26.20.15.000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26.20.15.110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Персональные электронно-вычислительные машины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26.20.15.120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Системные блоки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26.20.15.130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Графические станции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26.20.15.140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Моноблоки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26.20.15.160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Программно-аппаратные комплексы, созданные на машинах вычислительных электронных цифровых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26.20.15.170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Машины вычислительные электронные цифровые и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 с функциями безопасности информации, обеспеченными встроенными, в том числе криптографическими, средствами защиты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27.11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Электродвигатели, генераторы и трансформаторы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27.12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Аппаратура распределительная и регулирующая электрическая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27.20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Батареи и аккумуляторы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27.3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Кабели и арматура кабельная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27.40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Оборудование электрическое осветительное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27.90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Оборудование электрическое прочее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28.13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Насосы и компрессоры прочие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28.14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Арматура трубопроводная (арматура) (краны и клапаны прочие)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28.15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Подшипники, зубчатые колеса, зубчатые передачи и элементы приводов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28.22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Оборудование подъемно-транспортное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28.23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Машины офисные и оборудование, кроме компьютеров и периферийного оборудования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28.25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Оборудование промышленное холодильное и вентиляционное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28.29.13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Фильтры масляные, бензиновые и всасывающие воздушные для двигателей внутреннего сгорания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28.41.33.130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Прессы гидравлические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28.49.12.110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Станки деревообрабатывающие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28.99.39.190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Оборудование специального назначения прочее, не включенное в другие группировки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29.20.21.110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Контейнеры общего назначения (универсальные)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29.3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Части и принадлежности для автотранспортных средств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31.0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Мебель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32.99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Изделия готовые прочие, не включенные в другие группировки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33.1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ремонту металлоизделий, машин и оборудования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33.2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монтажу промышленных машин и оборудования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36.00.1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Вода природная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38.32.2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Сырье вторичное, содержащее металлы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39.0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рекультивации и прочие услуги по утилизации отходов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41.20.30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Работы по возведению жилых зданий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41.20.40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Работы строительные по возведению нежилых зданий и сооружений (работы по строительству новых объектов, возведению пристроек, реконструкции и ремонту зданий)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42.11.20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Работы строительные по строительству автомагистралей, автомобильных дорог, улично-дорожной сети и прочих автомобильных или пешеходных дорог, и взлетно-посадочных полос аэродромов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42.13.20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Работы строительные по строительству мостов и тоннелей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42.21.23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Работы строительные по строительству оросительных систем (каналов), водоводов и водоводных конструкций, водоочистных станций, станций очистки сточных вод и насосных станций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42.22.21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Работы строительные по прокладке магистральных линий электропередачи и связи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42.22.22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Работы строительные по прокладке местных линий электропередачи и связи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42.91.20.140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Работы дноуглубительные, работы по удалению скальных пород и илистых отложений и прочие строительные гидротехнические работы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42.91.20.190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Работы строительные и ремонтные, связанные с прочими водными сооружениями и работы по ремонту всех вышеуказанных сооружений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42.99.29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Работы строительные по строительству гражданских сооружений, не включенные в другие группировки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43.11.10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Работы по сносу зданий и сооружений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43.12.11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Работы земляные; работы по расчистке территории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43.2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Работы электромонтажные, работы по монтажу водопроводных и канализационных систем и прочие строительно-монтажные работы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43.3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Работы завершающие и отделочные в зданиях и сооружениях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45.2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техническому обслуживанию и ремонту автотранспортных средств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49.32.12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аренде легковых автомобилей с водителем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49.39.3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перевозке пассажиров сухопутным транспортом нерегулярные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49.4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грузовым перевозкам автомобильным транспортом и услуги по переезду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50.4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перевозке грузов внутренним водным транспортом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51.10.13.000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регулярным пассажирским перевозкам воздушным транспортом на международных линиях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52.21.24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стоянок для транспортных средств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53.20.11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курьерской доставке различными видами транспорта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55.10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гостиниц и аналогичные услуги по предоставлению временного жилья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56.10.11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обеспечению питанием с полным ресторанным обслуживанием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56.29.1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Услуги по обеспечению питанием, осуществляемые по договору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58.19.11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Открытки почтовые печатные, открытки поздравительные и прочая издательская продукция печатная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58.19.19.190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Продукция издательская печатная прочая, не включенная в другие группировки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62.02.20.190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консультативные в области компьютерных технологий прочие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62.09.20.190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технической поддержке в области информационных технологий прочие, не включенные в другие группировки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71.11.3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территориальному планированию и планировке территории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71.12.35.110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в области кадастровой деятельности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71.12.40.120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в области метрологии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71.20.13.110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уги в области испытаний и анализа механических и электрических характеристик машин, двигателей, автомобилей, станков, приборов, аппаратуры связи и прочего комплектного оборудования, содержащего механические и электрические компоненты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71.20.14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техническому осмотру автотранспортных средств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71.20.19.190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техническим испытаниям и анализу прочие, не включенные в другие группировки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72.19.29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Услуги, связанные с научными исследованиями и экспериментальными разработками в области технических наук и в области технологий, прочие, кроме биотехнологии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73.1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рекламные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73.20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исследованию конъюнктуры рынка и общественного мнения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74.20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в области фотографии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74.30.1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письменному и устному переводу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74.90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профессиональные, научные и технические, прочие, не включенные в другие группировки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77.40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предоставлению лицензий на право использования интеллектуальной собственности и аналогичных продуктов, кроме произведений, охраняемых авторским правом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78.1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Услуги, предоставляемые агентствами по трудоустройству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78.2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Услуги, предоставляемые агентствами по временному трудоустройству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78.3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в области трудовых ресурсов по обеспечению персоналом прочие</w:t>
            </w:r>
          </w:p>
        </w:tc>
      </w:tr>
      <w:tr w:rsidR="008151B4">
        <w:trPr>
          <w:trHeight w:val="453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79.90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бронированию и взаимосвязанные услуги прочие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80.1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охранных служб, в том числе частных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80.2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систем обеспечения безопасности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80.3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проведению расследований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81.1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комплексному обслуживанию помещений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81.2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чистке и уборке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81.3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планировке ландшафта</w:t>
            </w:r>
          </w:p>
        </w:tc>
      </w:tr>
      <w:tr w:rsidR="008151B4">
        <w:trPr>
          <w:trHeight w:val="392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82.30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организации конференций и торговых выставок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86.90.19.110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организаций санитарно-эпидемиологической службы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pStyle w:val="1d"/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93.19.11.000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pStyle w:val="1d"/>
              <w:tabs>
                <w:tab w:val="left" w:pos="127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содействию в подготовке спортивных и развлекательных мероприятий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95.1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ремонту компьютеров и коммуникационного оборудования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95.2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ремонту предметов личного потребления и бытовых товаров</w:t>
            </w:r>
          </w:p>
        </w:tc>
      </w:tr>
      <w:tr w:rsidR="008151B4">
        <w:trPr>
          <w:trHeight w:val="567"/>
        </w:trPr>
        <w:tc>
          <w:tcPr>
            <w:tcW w:w="709" w:type="dxa"/>
            <w:shd w:val="clear" w:color="FFFFFF" w:fill="FFFFFF"/>
            <w:noWrap/>
            <w:vAlign w:val="center"/>
          </w:tcPr>
          <w:p w:rsidR="008151B4" w:rsidRDefault="008151B4">
            <w:pPr>
              <w:numPr>
                <w:ilvl w:val="0"/>
                <w:numId w:val="5"/>
              </w:numPr>
              <w:tabs>
                <w:tab w:val="left" w:pos="762"/>
              </w:tabs>
              <w:ind w:left="0" w:firstLine="34"/>
              <w:rPr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shd w:val="clear" w:color="FFFFFF" w:fill="FFFFFF"/>
            <w:noWrap/>
            <w:vAlign w:val="center"/>
          </w:tcPr>
          <w:p w:rsidR="008151B4" w:rsidRDefault="00D37E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96.01.1</w:t>
            </w:r>
          </w:p>
        </w:tc>
        <w:tc>
          <w:tcPr>
            <w:tcW w:w="6499" w:type="dxa"/>
            <w:shd w:val="clear" w:color="FFFFFF" w:fill="FFFFFF"/>
            <w:vAlign w:val="center"/>
          </w:tcPr>
          <w:p w:rsidR="008151B4" w:rsidRDefault="00D37ED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Услуги по стирке и чистке (в том числе химической) изделий из тканей и меха</w:t>
            </w:r>
          </w:p>
        </w:tc>
      </w:tr>
    </w:tbl>
    <w:p w:rsidR="008151B4" w:rsidRDefault="008151B4">
      <w:pPr>
        <w:jc w:val="both"/>
        <w:rPr>
          <w:sz w:val="22"/>
          <w:szCs w:val="22"/>
        </w:rPr>
      </w:pPr>
    </w:p>
    <w:p w:rsidR="008151B4" w:rsidRDefault="00D37ED0" w:rsidP="00D37ED0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кроме </w:t>
      </w:r>
      <w:bookmarkStart w:id="0" w:name="_GoBack"/>
      <w:bookmarkEnd w:id="0"/>
      <w:r>
        <w:rPr>
          <w:sz w:val="20"/>
          <w:szCs w:val="20"/>
        </w:rPr>
        <w:t>объектов высокой и средней категории опасности (ст. 5, ст. 9 Федерального закона от 21.07.2011 № 256-ФЗ «О безопасности объектов топливно-энергетического комплекса»</w:t>
      </w:r>
      <w:bookmarkStart w:id="1" w:name="undefined"/>
      <w:bookmarkEnd w:id="1"/>
      <w:r>
        <w:rPr>
          <w:sz w:val="20"/>
          <w:szCs w:val="20"/>
        </w:rPr>
        <w:t>) и в соответствии с паспортом безопасности объекта топливно-энергетического комплекса</w:t>
      </w:r>
    </w:p>
    <w:p w:rsidR="008151B4" w:rsidRDefault="008151B4">
      <w:pPr>
        <w:ind w:right="-25"/>
        <w:jc w:val="both"/>
      </w:pPr>
    </w:p>
    <w:p w:rsidR="008151B4" w:rsidRDefault="008151B4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sectPr w:rsidR="008151B4">
      <w:headerReference w:type="even" r:id="rId9"/>
      <w:headerReference w:type="default" r:id="rId10"/>
      <w:pgSz w:w="11906" w:h="16838"/>
      <w:pgMar w:top="1134" w:right="709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DAC" w:rsidRDefault="00B81DAC">
      <w:r>
        <w:separator/>
      </w:r>
    </w:p>
  </w:endnote>
  <w:endnote w:type="continuationSeparator" w:id="0">
    <w:p w:rsidR="00B81DAC" w:rsidRDefault="00B81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F Din Text Cond Pro Light">
    <w:panose1 w:val="02000000000000000000"/>
    <w:charset w:val="CC"/>
    <w:family w:val="auto"/>
    <w:pitch w:val="variable"/>
    <w:sig w:usb0="A00002BF" w:usb1="5000E0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DAC" w:rsidRDefault="00B81DAC">
      <w:r>
        <w:separator/>
      </w:r>
    </w:p>
  </w:footnote>
  <w:footnote w:type="continuationSeparator" w:id="0">
    <w:p w:rsidR="00B81DAC" w:rsidRDefault="00B81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ED0" w:rsidRDefault="00D37ED0">
    <w:pPr>
      <w:pStyle w:val="24"/>
      <w:framePr w:wrap="around" w:vAnchor="text" w:hAnchor="margin" w:xAlign="center" w:y="1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end"/>
    </w:r>
  </w:p>
  <w:p w:rsidR="00D37ED0" w:rsidRDefault="00D37ED0">
    <w:pPr>
      <w:pStyle w:val="2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ED0" w:rsidRDefault="00D37ED0">
    <w:pPr>
      <w:pStyle w:val="24"/>
      <w:framePr w:wrap="around" w:vAnchor="text" w:hAnchor="margin" w:xAlign="center" w:y="1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separate"/>
    </w:r>
    <w:r w:rsidR="00197206">
      <w:rPr>
        <w:rStyle w:val="19"/>
        <w:noProof/>
      </w:rPr>
      <w:t>2</w:t>
    </w:r>
    <w:r>
      <w:rPr>
        <w:rStyle w:val="19"/>
      </w:rPr>
      <w:fldChar w:fldCharType="end"/>
    </w:r>
  </w:p>
  <w:p w:rsidR="00D37ED0" w:rsidRDefault="00D37ED0">
    <w:pPr>
      <w:pStyle w:val="2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FE5A7"/>
    <w:multiLevelType w:val="hybridMultilevel"/>
    <w:tmpl w:val="00000000"/>
    <w:lvl w:ilvl="0" w:tplc="11B6BC6C">
      <w:start w:val="1"/>
      <w:numFmt w:val="decimal"/>
      <w:lvlText w:val="%1."/>
      <w:lvlJc w:val="left"/>
      <w:pPr>
        <w:ind w:left="720" w:hanging="360"/>
      </w:pPr>
    </w:lvl>
    <w:lvl w:ilvl="1" w:tplc="13FC124C">
      <w:start w:val="1"/>
      <w:numFmt w:val="lowerLetter"/>
      <w:lvlText w:val="%2."/>
      <w:lvlJc w:val="left"/>
      <w:pPr>
        <w:ind w:left="1440" w:hanging="360"/>
      </w:pPr>
    </w:lvl>
    <w:lvl w:ilvl="2" w:tplc="5B90321C">
      <w:start w:val="1"/>
      <w:numFmt w:val="lowerRoman"/>
      <w:lvlText w:val="%3."/>
      <w:lvlJc w:val="right"/>
      <w:pPr>
        <w:ind w:left="2160" w:hanging="180"/>
      </w:pPr>
    </w:lvl>
    <w:lvl w:ilvl="3" w:tplc="C074D2EA">
      <w:start w:val="1"/>
      <w:numFmt w:val="decimal"/>
      <w:lvlText w:val="%4."/>
      <w:lvlJc w:val="left"/>
      <w:pPr>
        <w:ind w:left="2880" w:hanging="360"/>
      </w:pPr>
    </w:lvl>
    <w:lvl w:ilvl="4" w:tplc="FA320668">
      <w:start w:val="1"/>
      <w:numFmt w:val="lowerLetter"/>
      <w:lvlText w:val="%5."/>
      <w:lvlJc w:val="left"/>
      <w:pPr>
        <w:ind w:left="3600" w:hanging="360"/>
      </w:pPr>
    </w:lvl>
    <w:lvl w:ilvl="5" w:tplc="4600E746">
      <w:start w:val="1"/>
      <w:numFmt w:val="lowerRoman"/>
      <w:lvlText w:val="%6."/>
      <w:lvlJc w:val="right"/>
      <w:pPr>
        <w:ind w:left="4320" w:hanging="180"/>
      </w:pPr>
    </w:lvl>
    <w:lvl w:ilvl="6" w:tplc="E9A890AE">
      <w:start w:val="1"/>
      <w:numFmt w:val="decimal"/>
      <w:lvlText w:val="%7."/>
      <w:lvlJc w:val="left"/>
      <w:pPr>
        <w:ind w:left="5040" w:hanging="360"/>
      </w:pPr>
    </w:lvl>
    <w:lvl w:ilvl="7" w:tplc="E5B282E6">
      <w:start w:val="1"/>
      <w:numFmt w:val="lowerLetter"/>
      <w:lvlText w:val="%8."/>
      <w:lvlJc w:val="left"/>
      <w:pPr>
        <w:ind w:left="5760" w:hanging="360"/>
      </w:pPr>
    </w:lvl>
    <w:lvl w:ilvl="8" w:tplc="38B62B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E0C63"/>
    <w:multiLevelType w:val="hybridMultilevel"/>
    <w:tmpl w:val="00000000"/>
    <w:lvl w:ilvl="0" w:tplc="1EB42A0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6E0A3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7A0D8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DE078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8565C5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DAC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1845B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6AD6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9E28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175E1A6"/>
    <w:multiLevelType w:val="hybridMultilevel"/>
    <w:tmpl w:val="00000000"/>
    <w:lvl w:ilvl="0" w:tplc="BD54C924">
      <w:start w:val="1"/>
      <w:numFmt w:val="decimal"/>
      <w:lvlText w:val="%1."/>
      <w:lvlJc w:val="left"/>
      <w:pPr>
        <w:ind w:left="752" w:hanging="360"/>
      </w:pPr>
    </w:lvl>
    <w:lvl w:ilvl="1" w:tplc="F69C88A6">
      <w:start w:val="1"/>
      <w:numFmt w:val="lowerLetter"/>
      <w:lvlText w:val="%2."/>
      <w:lvlJc w:val="left"/>
      <w:pPr>
        <w:ind w:left="1472" w:hanging="360"/>
      </w:pPr>
    </w:lvl>
    <w:lvl w:ilvl="2" w:tplc="AC70F2BA">
      <w:start w:val="1"/>
      <w:numFmt w:val="lowerRoman"/>
      <w:lvlText w:val="%3."/>
      <w:lvlJc w:val="right"/>
      <w:pPr>
        <w:ind w:left="2192" w:hanging="180"/>
      </w:pPr>
    </w:lvl>
    <w:lvl w:ilvl="3" w:tplc="8D9E6E2A">
      <w:start w:val="1"/>
      <w:numFmt w:val="decimal"/>
      <w:lvlText w:val="%4."/>
      <w:lvlJc w:val="left"/>
      <w:pPr>
        <w:ind w:left="2912" w:hanging="360"/>
      </w:pPr>
    </w:lvl>
    <w:lvl w:ilvl="4" w:tplc="E4121020">
      <w:start w:val="1"/>
      <w:numFmt w:val="lowerLetter"/>
      <w:lvlText w:val="%5."/>
      <w:lvlJc w:val="left"/>
      <w:pPr>
        <w:ind w:left="3632" w:hanging="360"/>
      </w:pPr>
    </w:lvl>
    <w:lvl w:ilvl="5" w:tplc="159EB284">
      <w:start w:val="1"/>
      <w:numFmt w:val="lowerRoman"/>
      <w:lvlText w:val="%6."/>
      <w:lvlJc w:val="right"/>
      <w:pPr>
        <w:ind w:left="4352" w:hanging="180"/>
      </w:pPr>
    </w:lvl>
    <w:lvl w:ilvl="6" w:tplc="28D0FB38">
      <w:start w:val="1"/>
      <w:numFmt w:val="decimal"/>
      <w:lvlText w:val="%7."/>
      <w:lvlJc w:val="left"/>
      <w:pPr>
        <w:ind w:left="5072" w:hanging="360"/>
      </w:pPr>
    </w:lvl>
    <w:lvl w:ilvl="7" w:tplc="5688FC0E">
      <w:start w:val="1"/>
      <w:numFmt w:val="lowerLetter"/>
      <w:lvlText w:val="%8."/>
      <w:lvlJc w:val="left"/>
      <w:pPr>
        <w:ind w:left="5792" w:hanging="360"/>
      </w:pPr>
    </w:lvl>
    <w:lvl w:ilvl="8" w:tplc="4DFE89BC">
      <w:start w:val="1"/>
      <w:numFmt w:val="lowerRoman"/>
      <w:lvlText w:val="%9."/>
      <w:lvlJc w:val="right"/>
      <w:pPr>
        <w:ind w:left="6512" w:hanging="180"/>
      </w:pPr>
    </w:lvl>
  </w:abstractNum>
  <w:abstractNum w:abstractNumId="3" w15:restartNumberingAfterBreak="0">
    <w:nsid w:val="37437565"/>
    <w:multiLevelType w:val="multilevel"/>
    <w:tmpl w:val="5D4C966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360"/>
      </w:pPr>
    </w:lvl>
    <w:lvl w:ilvl="2">
      <w:start w:val="1"/>
      <w:numFmt w:val="decimal"/>
      <w:lvlText w:val="%1.%2.%3."/>
      <w:lvlJc w:val="left"/>
      <w:pPr>
        <w:ind w:left="2149" w:hanging="720"/>
      </w:pPr>
    </w:lvl>
    <w:lvl w:ilvl="3">
      <w:start w:val="1"/>
      <w:numFmt w:val="decimal"/>
      <w:lvlText w:val="%1.%2.%3.%4."/>
      <w:lvlJc w:val="left"/>
      <w:pPr>
        <w:ind w:left="2509" w:hanging="720"/>
      </w:pPr>
    </w:lvl>
    <w:lvl w:ilvl="4">
      <w:start w:val="1"/>
      <w:numFmt w:val="decimal"/>
      <w:lvlText w:val="%1.%2.%3.%4.%5."/>
      <w:lvlJc w:val="left"/>
      <w:pPr>
        <w:ind w:left="3229" w:hanging="1080"/>
      </w:pPr>
    </w:lvl>
    <w:lvl w:ilvl="5">
      <w:start w:val="1"/>
      <w:numFmt w:val="decimal"/>
      <w:lvlText w:val="%1.%2.%3.%4.%5.%6."/>
      <w:lvlJc w:val="left"/>
      <w:pPr>
        <w:ind w:left="3589" w:hanging="1080"/>
      </w:pPr>
    </w:lvl>
    <w:lvl w:ilvl="6">
      <w:start w:val="1"/>
      <w:numFmt w:val="decimal"/>
      <w:lvlText w:val="%1.%2.%3.%4.%5.%6.%7."/>
      <w:lvlJc w:val="left"/>
      <w:pPr>
        <w:ind w:left="4309" w:hanging="1440"/>
      </w:pPr>
    </w:lvl>
    <w:lvl w:ilvl="7">
      <w:start w:val="1"/>
      <w:numFmt w:val="decimal"/>
      <w:lvlText w:val="%1.%2.%3.%4.%5.%6.%7.%8."/>
      <w:lvlJc w:val="left"/>
      <w:pPr>
        <w:ind w:left="4669" w:hanging="1440"/>
      </w:pPr>
    </w:lvl>
    <w:lvl w:ilvl="8">
      <w:start w:val="1"/>
      <w:numFmt w:val="decimal"/>
      <w:lvlText w:val="%1.%2.%3.%4.%5.%6.%7.%8.%9."/>
      <w:lvlJc w:val="left"/>
      <w:pPr>
        <w:ind w:left="5389" w:hanging="1800"/>
      </w:pPr>
    </w:lvl>
  </w:abstractNum>
  <w:abstractNum w:abstractNumId="4" w15:restartNumberingAfterBreak="0">
    <w:nsid w:val="3DC7875A"/>
    <w:multiLevelType w:val="hybridMultilevel"/>
    <w:tmpl w:val="00000000"/>
    <w:lvl w:ilvl="0" w:tplc="3B2A2F28">
      <w:start w:val="1"/>
      <w:numFmt w:val="decimal"/>
      <w:lvlText w:val="%1."/>
      <w:lvlJc w:val="left"/>
      <w:pPr>
        <w:ind w:left="720" w:hanging="360"/>
      </w:pPr>
    </w:lvl>
    <w:lvl w:ilvl="1" w:tplc="9326A456">
      <w:start w:val="1"/>
      <w:numFmt w:val="lowerLetter"/>
      <w:lvlText w:val="%2."/>
      <w:lvlJc w:val="left"/>
      <w:pPr>
        <w:ind w:left="1440" w:hanging="360"/>
      </w:pPr>
    </w:lvl>
    <w:lvl w:ilvl="2" w:tplc="27BA6EC6">
      <w:start w:val="1"/>
      <w:numFmt w:val="lowerRoman"/>
      <w:lvlText w:val="%3."/>
      <w:lvlJc w:val="right"/>
      <w:pPr>
        <w:ind w:left="2160" w:hanging="180"/>
      </w:pPr>
    </w:lvl>
    <w:lvl w:ilvl="3" w:tplc="23865394">
      <w:start w:val="1"/>
      <w:numFmt w:val="decimal"/>
      <w:lvlText w:val="%4."/>
      <w:lvlJc w:val="left"/>
      <w:pPr>
        <w:ind w:left="2880" w:hanging="360"/>
      </w:pPr>
    </w:lvl>
    <w:lvl w:ilvl="4" w:tplc="A61AA928">
      <w:start w:val="1"/>
      <w:numFmt w:val="lowerLetter"/>
      <w:lvlText w:val="%5."/>
      <w:lvlJc w:val="left"/>
      <w:pPr>
        <w:ind w:left="3600" w:hanging="360"/>
      </w:pPr>
    </w:lvl>
    <w:lvl w:ilvl="5" w:tplc="E55CABAE">
      <w:start w:val="1"/>
      <w:numFmt w:val="lowerRoman"/>
      <w:lvlText w:val="%6."/>
      <w:lvlJc w:val="right"/>
      <w:pPr>
        <w:ind w:left="4320" w:hanging="180"/>
      </w:pPr>
    </w:lvl>
    <w:lvl w:ilvl="6" w:tplc="C0203872">
      <w:start w:val="1"/>
      <w:numFmt w:val="decimal"/>
      <w:lvlText w:val="%7."/>
      <w:lvlJc w:val="left"/>
      <w:pPr>
        <w:ind w:left="5040" w:hanging="360"/>
      </w:pPr>
    </w:lvl>
    <w:lvl w:ilvl="7" w:tplc="DD6AE4D4">
      <w:start w:val="1"/>
      <w:numFmt w:val="lowerLetter"/>
      <w:lvlText w:val="%8."/>
      <w:lvlJc w:val="left"/>
      <w:pPr>
        <w:ind w:left="5760" w:hanging="360"/>
      </w:pPr>
    </w:lvl>
    <w:lvl w:ilvl="8" w:tplc="206AD2D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51B4"/>
    <w:rsid w:val="00197206"/>
    <w:rsid w:val="003D03DB"/>
    <w:rsid w:val="008151B4"/>
    <w:rsid w:val="00B81DAC"/>
    <w:rsid w:val="00D3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9FA810A"/>
  <w15:docId w15:val="{62B739F8-A8BF-402F-97B4-1EB9013E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val="en-US"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</w:style>
  <w:style w:type="paragraph" w:customStyle="1" w:styleId="10">
    <w:name w:val="Нижний колонтитул1"/>
    <w:basedOn w:val="a"/>
    <w:link w:val="Footer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35"/>
    <w:rPr>
      <w:b/>
      <w:bCs/>
      <w:color w:val="4F81BD"/>
      <w:sz w:val="18"/>
      <w:szCs w:val="18"/>
    </w:rPr>
  </w:style>
  <w:style w:type="table" w:styleId="ab">
    <w:name w:val="Table Grid"/>
    <w:uiPriority w:val="59"/>
    <w:rPr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val="en-US"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rPr>
      <w:lang w:val="en-US"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2">
    <w:name w:val="Plain Table 2"/>
    <w:uiPriority w:val="59"/>
    <w:rPr>
      <w:lang w:val="en-US" w:eastAsia="en-US"/>
    </w:rPr>
    <w:tblPr>
      <w:tblInd w:w="0" w:type="dxa"/>
      <w:tblBorders>
        <w:top w:val="single" w:sz="4" w:space="0" w:color="000000"/>
        <w:left w:val="nil"/>
        <w:bottom w:val="single" w:sz="4" w:space="0" w:color="000000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Plain Table 3"/>
    <w:uiPriority w:val="99"/>
    <w:rPr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">
    <w:name w:val="Plain Table 4"/>
    <w:uiPriority w:val="99"/>
    <w:rPr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">
    <w:name w:val="Plain Table 5"/>
    <w:uiPriority w:val="99"/>
    <w:rPr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val="en-US"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val="en-US"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val="en-US"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val="en-US"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val="en-US"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val="en-US"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val="en-US"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val="en-US"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val="en-US"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val="en-US"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val="en-US"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val="en-US"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val="en-US"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val="en-US"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val="en-US"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val="en-US"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val="en-US"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val="en-US"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val="en-US"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val="en-US"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val="en-US"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val="en-US"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val="en-US"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val="en-US"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val="en-US"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val="en-US"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val="en-US"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val="en-US"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val="en-US"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  <w:rPr>
      <w:lang w:val="en-US" w:eastAsia="en-US"/>
    </w:rPr>
  </w:style>
  <w:style w:type="paragraph" w:styleId="af4">
    <w:name w:val="table of figures"/>
    <w:basedOn w:val="a"/>
    <w:next w:val="a"/>
    <w:uiPriority w:val="99"/>
    <w:unhideWhenUsed/>
  </w:style>
  <w:style w:type="character" w:customStyle="1" w:styleId="15">
    <w:name w:val="Основной шрифт абзаца1"/>
    <w:uiPriority w:val="1"/>
    <w:semiHidden/>
    <w:unhideWhenUsed/>
  </w:style>
  <w:style w:type="table" w:customStyle="1" w:styleId="16">
    <w:name w:val="Обычная таблица1"/>
    <w:uiPriority w:val="99"/>
    <w:semiHidden/>
    <w:unhideWhenUsed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">
    <w:name w:val="Нет списка1"/>
    <w:uiPriority w:val="99"/>
    <w:semiHidden/>
    <w:unhideWhenUsed/>
  </w:style>
  <w:style w:type="paragraph" w:customStyle="1" w:styleId="18">
    <w:name w:val="Текст выноски1"/>
    <w:basedOn w:val="a"/>
    <w:link w:val="af5"/>
    <w:uiPriority w:val="99"/>
    <w:semiHidden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18"/>
    <w:uiPriority w:val="99"/>
    <w:semiHidden/>
    <w:rPr>
      <w:rFonts w:ascii="Tahoma" w:hAnsi="Tahoma" w:cs="Tahoma"/>
      <w:sz w:val="16"/>
      <w:szCs w:val="16"/>
      <w:lang w:eastAsia="ru-RU"/>
    </w:rPr>
  </w:style>
  <w:style w:type="character" w:customStyle="1" w:styleId="FontStyle26">
    <w:name w:val="Font Style26"/>
    <w:uiPriority w:val="99"/>
    <w:rPr>
      <w:rFonts w:ascii="Times New Roman" w:hAnsi="Times New Roman"/>
      <w:sz w:val="26"/>
    </w:rPr>
  </w:style>
  <w:style w:type="paragraph" w:customStyle="1" w:styleId="24">
    <w:name w:val="Верхний колонтитул2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24"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9">
    <w:name w:val="Номер страницы1"/>
    <w:uiPriority w:val="99"/>
    <w:rPr>
      <w:rFonts w:cs="Times New Roman"/>
    </w:rPr>
  </w:style>
  <w:style w:type="character" w:customStyle="1" w:styleId="1a">
    <w:name w:val="Гиперссылка1"/>
    <w:uiPriority w:val="99"/>
    <w:rPr>
      <w:rFonts w:cs="Times New Roman"/>
      <w:color w:val="0000FF"/>
      <w:u w:val="single"/>
    </w:rPr>
  </w:style>
  <w:style w:type="character" w:customStyle="1" w:styleId="1b">
    <w:name w:val="Просмотренная гиперссылка1"/>
    <w:uiPriority w:val="99"/>
    <w:semiHidden/>
    <w:rPr>
      <w:rFonts w:cs="Times New Roman"/>
      <w:color w:val="800080"/>
      <w:u w:val="single"/>
    </w:rPr>
  </w:style>
  <w:style w:type="paragraph" w:customStyle="1" w:styleId="25">
    <w:name w:val="Название объекта2"/>
    <w:basedOn w:val="a"/>
    <w:next w:val="a"/>
    <w:uiPriority w:val="99"/>
    <w:qFormat/>
    <w:pPr>
      <w:spacing w:before="120" w:after="120"/>
    </w:pPr>
    <w:rPr>
      <w:rFonts w:eastAsia="SimSun"/>
      <w:b/>
      <w:bCs/>
      <w:sz w:val="20"/>
      <w:szCs w:val="20"/>
    </w:rPr>
  </w:style>
  <w:style w:type="paragraph" w:customStyle="1" w:styleId="1c">
    <w:name w:val="Абзац списка1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</w:rPr>
  </w:style>
  <w:style w:type="character" w:customStyle="1" w:styleId="af7">
    <w:name w:val="Цветовое выделение"/>
    <w:uiPriority w:val="99"/>
    <w:rPr>
      <w:b/>
      <w:bCs/>
      <w:color w:val="26282F"/>
    </w:rPr>
  </w:style>
  <w:style w:type="character" w:customStyle="1" w:styleId="af8">
    <w:name w:val="Гипертекстовая ссылка"/>
    <w:uiPriority w:val="99"/>
    <w:rPr>
      <w:color w:val="106BBE"/>
    </w:rPr>
  </w:style>
  <w:style w:type="paragraph" w:customStyle="1" w:styleId="1d">
    <w:name w:val="Основной текст1"/>
    <w:pPr>
      <w:pBdr>
        <w:top w:val="nil"/>
        <w:left w:val="nil"/>
        <w:bottom w:val="nil"/>
        <w:right w:val="nil"/>
        <w:between w:val="nil"/>
      </w:pBdr>
      <w:jc w:val="both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2375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«ЦИУ</Company>
  <LinksUpToDate>false</LinksUpToDate>
  <CharactersWithSpaces>15882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Макурин Андре</dc:creator>
  <cp:lastModifiedBy>Папина Нина Арнольдовна</cp:lastModifiedBy>
  <cp:revision>8</cp:revision>
  <dcterms:created xsi:type="dcterms:W3CDTF">2025-07-10T09:32:00Z</dcterms:created>
  <dcterms:modified xsi:type="dcterms:W3CDTF">2026-07-20T08:31:00Z</dcterms:modified>
  <cp:version>917504</cp:version>
</cp:coreProperties>
</file>